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9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6"/>
        </w:trPr>
        <w:tc>
          <w:tcPr>
            <w:tcW w:w="6220" w:type="dxa"/>
            <w:vAlign w:val="bottom"/>
            <w:vMerge w:val="restart"/>
          </w:tcPr>
          <w:p>
            <w:pPr>
              <w:jc w:val="center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T.C.</w:t>
            </w:r>
          </w:p>
        </w:tc>
        <w:tc>
          <w:tcPr>
            <w:tcW w:w="1480" w:type="dxa"/>
            <w:vAlign w:val="bottom"/>
          </w:tcPr>
          <w:p>
            <w:pPr>
              <w:ind w:lef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71"/>
              </w:rPr>
              <w:t>EkEk-1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6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220" w:type="dxa"/>
            <w:vAlign w:val="bottom"/>
          </w:tcPr>
          <w:p>
            <w:pPr>
              <w:jc w:val="center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ARTVİN VALİLİĞİ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220" w:type="dxa"/>
            <w:vAlign w:val="bottom"/>
          </w:tcPr>
          <w:p>
            <w:pPr>
              <w:jc w:val="center"/>
              <w:ind w:righ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Çevre,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Şehircilik ve İklim Değişikliği İl Müdürlüğü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228600</wp:posOffset>
            </wp:positionV>
            <wp:extent cx="1423670" cy="5524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3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u w:val="single" w:color="auto"/>
          <w:color w:val="auto"/>
        </w:rPr>
        <w:t>DUYURU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jc w:val="both"/>
        <w:ind w:right="54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İlimiz, Arhavi İlçesi, Sevail ve Üçırmak Dereleri mevkiinde, AB Enerji Üretim Ltd. Şti. tarafından kurulması planlanan Saka 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-II Regülatörü ve HES (4,430 MWm/4,342 MWe)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projesi (Id:35900) ile ilgili olarak Bakanlığımıza sunulan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ÇED Raporu incelenmiş ve değerlendirilmiş olup, 29.07.2022 tarih ve 31907 sayılı Resmi Gazetede yayımlanarak yürürlüğe giren ÇED Yönetmeliğinin 14. Maddesi gereğince söz konusu proje için Bakanlığımızca ‘‘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Çevresel Etki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Değerlendirmesi Olumsuz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’’ kararı verilmiştir.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İlanen duyurulur. …/…/2024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________________________________________________________________________________________________________________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Yeni Şehitlik Sokak 08000 Artvin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Telefon : (0466) 212 13 69 - 16 33 Fax : (0466) 212 18 19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e-posta :</w:t>
      </w:r>
      <w:r>
        <w:rPr>
          <w:rFonts w:ascii="Times New Roman" w:cs="Times New Roman" w:eastAsia="Times New Roman" w:hAnsi="Times New Roman"/>
          <w:sz w:val="16"/>
          <w:szCs w:val="16"/>
          <w:color w:val="1F497D"/>
        </w:rPr>
        <w:t xml:space="preserve"> </w:t>
      </w:r>
      <w:hyperlink r:id="rId13">
        <w:r>
          <w:rPr>
            <w:rFonts w:ascii="Times New Roman" w:cs="Times New Roman" w:eastAsia="Times New Roman" w:hAnsi="Times New Roman"/>
            <w:sz w:val="16"/>
            <w:szCs w:val="16"/>
            <w:u w:val="single" w:color="auto"/>
            <w:color w:val="1F497D"/>
          </w:rPr>
          <w:t>artvin@csb.gov.tr</w:t>
        </w:r>
      </w:hyperlink>
    </w:p>
    <w:sectPr>
      <w:pgSz w:w="11900" w:h="16836" w:orient="portrait"/>
      <w:cols w:equalWidth="0" w:num="1">
        <w:col w:w="9600"/>
      </w:cols>
      <w:pgMar w:left="1420" w:top="586" w:right="884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hyperlink" Target="mailto:artvin@csb.gov.tr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2024-10-03T10:23:10Z</dcterms:created>
  <dcterms:modified xsi:type="dcterms:W3CDTF">2024-10-03T10:23:10Z</dcterms:modified>
</cp:coreProperties>
</file>